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sz w:val="26"/>
        </w:rPr>
        <w:t>Объявление о приеме документов для участия в конкурсе</w:t>
      </w:r>
    </w:p>
    <w:p w14:paraId="04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на замещение вакантной</w:t>
      </w:r>
      <w:r>
        <w:rPr>
          <w:sz w:val="26"/>
        </w:rPr>
        <w:t xml:space="preserve"> должности государственной гражданской службы </w:t>
      </w:r>
    </w:p>
    <w:p w14:paraId="05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 xml:space="preserve">Российской Федерации </w:t>
      </w:r>
    </w:p>
    <w:p w14:paraId="06000000">
      <w:pPr>
        <w:pStyle w:val="Style_2"/>
        <w:spacing w:after="0"/>
        <w:ind/>
        <w:jc w:val="center"/>
        <w:rPr>
          <w:sz w:val="26"/>
        </w:rPr>
      </w:pPr>
      <w:r>
        <w:rPr>
          <w:sz w:val="26"/>
        </w:rPr>
        <w:t>в Межрайонной инспекции</w:t>
      </w:r>
      <w:r>
        <w:rPr>
          <w:sz w:val="26"/>
        </w:rPr>
        <w:t xml:space="preserve"> Федеральной налоговой службы №</w:t>
      </w:r>
      <w:r>
        <w:rPr>
          <w:sz w:val="26"/>
        </w:rPr>
        <w:t xml:space="preserve"> </w:t>
      </w:r>
      <w:r>
        <w:rPr>
          <w:sz w:val="26"/>
        </w:rPr>
        <w:t>15 по Самарской области</w:t>
      </w:r>
    </w:p>
    <w:p w14:paraId="07000000">
      <w:pPr>
        <w:rPr>
          <w:sz w:val="25"/>
        </w:rPr>
      </w:pPr>
    </w:p>
    <w:p w14:paraId="08000000">
      <w:pPr>
        <w:ind w:firstLine="709"/>
        <w:jc w:val="both"/>
      </w:pPr>
      <w:r>
        <w:t>Межрайонная инспекция Федеральн</w:t>
      </w:r>
      <w:r>
        <w:t>ой налоговой службы №</w:t>
      </w:r>
      <w:r>
        <w:t xml:space="preserve"> </w:t>
      </w:r>
      <w:r>
        <w:t xml:space="preserve">15 по Самарской </w:t>
      </w:r>
      <w:r>
        <w:t>области в</w:t>
      </w:r>
      <w:r>
        <w:t xml:space="preserve"> </w:t>
      </w:r>
      <w:r>
        <w:t>лице</w:t>
      </w:r>
      <w:r>
        <w:t xml:space="preserve"> </w:t>
      </w:r>
      <w:r>
        <w:t>начальника</w:t>
      </w:r>
      <w:r>
        <w:t xml:space="preserve"> </w:t>
      </w:r>
      <w:r>
        <w:t>Юрковец Нины Семеновны</w:t>
      </w:r>
      <w:r>
        <w:t>, действующего на основании Положения о Межрайонной инспекции</w:t>
      </w:r>
      <w:r>
        <w:t xml:space="preserve"> Федеральной налоговой службы №</w:t>
      </w:r>
      <w:r>
        <w:t xml:space="preserve"> </w:t>
      </w:r>
      <w:r>
        <w:t xml:space="preserve">15 по Самарской области, утвержденного Руководителем Управления Федеральной налоговой службы по Самарской области </w:t>
      </w:r>
      <w:r>
        <w:t>от</w:t>
      </w:r>
      <w:r>
        <w:t xml:space="preserve"> </w:t>
      </w:r>
      <w:r>
        <w:t>01.04.2015г.</w:t>
      </w:r>
      <w:r>
        <w:t>, объявляет о приеме документов для участия в конкурсе на замещение вакантной должности</w:t>
      </w:r>
      <w:r>
        <w:t>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60"/>
        <w:gridCol w:w="2835"/>
        <w:gridCol w:w="481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rPr>
          <w:trHeight w:hRule="atLeast" w:val="1102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</w:pPr>
            <w:r>
              <w:t>Отдел камеральных проверок №</w:t>
            </w:r>
            <w: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0F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556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2520" w:val="left"/>
              </w:tabs>
              <w:ind/>
            </w:pPr>
            <w:r>
              <w:t>выс</w:t>
            </w:r>
            <w:r>
              <w:t>шее образование</w:t>
            </w:r>
            <w:r>
              <w:t>;</w:t>
            </w:r>
          </w:p>
          <w:p w14:paraId="12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3000000">
      <w:pPr>
        <w:widowControl w:val="0"/>
        <w:ind/>
        <w:jc w:val="both"/>
        <w:rPr>
          <w:b w:val="1"/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 xml:space="preserve">        </w:t>
      </w:r>
    </w:p>
    <w:p w14:paraId="14000000">
      <w:pPr>
        <w:ind w:firstLine="709"/>
        <w:jc w:val="both"/>
        <w:rPr>
          <w:b w:val="1"/>
          <w:color w:val="000000"/>
          <w:spacing w:val="-2"/>
        </w:rPr>
      </w:pPr>
      <w:r>
        <w:rPr>
          <w:b w:val="1"/>
          <w:color w:val="000000"/>
          <w:spacing w:val="-2"/>
        </w:rPr>
        <w:t xml:space="preserve">Квалификационные требования для замещения должности гражданской службы (на главного государственного налогового инспектора отдела </w:t>
      </w:r>
      <w:r>
        <w:rPr>
          <w:b w:val="1"/>
          <w:color w:val="000000"/>
          <w:spacing w:val="-2"/>
        </w:rPr>
        <w:t>камеральных</w:t>
      </w:r>
      <w:r>
        <w:rPr>
          <w:b w:val="1"/>
          <w:color w:val="000000"/>
          <w:spacing w:val="-2"/>
        </w:rPr>
        <w:t xml:space="preserve"> проверок</w:t>
      </w:r>
      <w:r>
        <w:rPr>
          <w:b w:val="1"/>
          <w:color w:val="000000"/>
          <w:spacing w:val="-2"/>
        </w:rPr>
        <w:t>№2</w:t>
      </w:r>
      <w:r>
        <w:rPr>
          <w:b w:val="1"/>
          <w:color w:val="000000"/>
          <w:spacing w:val="-2"/>
        </w:rPr>
        <w:t>)</w:t>
      </w:r>
    </w:p>
    <w:p w14:paraId="15000000">
      <w:pPr>
        <w:widowControl w:val="0"/>
        <w:ind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 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14:paraId="16000000">
      <w:pPr>
        <w:ind w:firstLine="709"/>
        <w:jc w:val="both"/>
      </w:pPr>
      <w:r>
        <w:t>В сфере законодательства Российской Федерации: Налоговый кодекс РФ;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постановление Правительства Российской Федерации от 28 августа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 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Гражданский кодекс Российской Федерации (часть первая) от 30 ноября 1994 г. N 51-ФЗ; "Семейный кодекс Российской Федерации"; Приказ ФНС России от 10 ноября 2016 г. N ММВ-7-6/609@ "Об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налогам"; Приказ ФНС России от 24 декабря 2014 г. N ММВ-7-11/671@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3-НДФЛ); Приказ ФНС России от 16 сентября 2011 г. N ММВ-7-3/576@ "Об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2011 N 22107), в редакции приказа ФНС России от 08 декабря 2014 N ММВ-7-11/617@ (зарегистрирован в Минюсте России 31 декабря 2014 N 35526); Приказ ФНС России от 24 декабря 2014 г. N ММВ-7-11/671@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3-НДФЛ), (зарегистрирован в Минюсте России 30 января 2015 N 35796), в редакции приказа ФНС России от 25 ноября 2015 N ММВ-7-11/544@ (зарегистрирован в Минюсте России 18 декабря 2015 N 40163); Приказ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Федерации" (зарегистрирован в Минюсте России 04 августа 2016 N 43119); Приказ Министерства здравоохранения Российской Федерации N 289 и Министерства Российской Федерации по налогам и сборам N БГ-3-04/256 от 25 июля 2001 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 (зарегистрирован в Минюсте Российской Федерации 13 августа 2001 N 2874); Приказ Министерства Российской Федерации по налогам и сборам от 27 июля 2004 г. N САЭ-3-04/440@ "О форме налогового уведомления на уплату налога на доходы физических лиц" (зарегистрирован в Минюсте России 11 августа 2004 N 5967). Приказ ФНС России от 14 января 2015 г. N ММВ-7-11/3@ "Об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Федерации" (зарегистрирован в Минюсте России 30 марта 2015 N 36625); Приказ ФНС России от 15 декабря 2014 г. N ММВ-7-11/646@ "Об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лицу" (зарегистрирован в Минюсте России 23 января 2015 N 35652); Приказ ФНС России от 15 декабря 2014 г. N ММВ-7-11/645@ "Об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связи" (зарегистрирован в Минюсте России 29 декабря 2014 N 35456); Приказ ФНС России от 10 сентября 2015 г. N ММВ-7-11/387@ "Об утверждении кодов видов доходов и вычетов" (зарегистрирован в Минюсте России 13 ноября 2015 N 39705); Приказ ФНС России от 13 ноября 2015 г. N ММВ-7-11/512@ "Об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02 декабря 2015 N 39925);  Приказ ФНС России от 17 марта 2015 г.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02 апреля 2015 N 36699);</w:t>
      </w:r>
    </w:p>
    <w:p w14:paraId="17000000">
      <w:pPr>
        <w:ind w:firstLine="709"/>
        <w:jc w:val="both"/>
      </w:pPr>
      <w:r>
        <w:t>Иные профессиональные знания: порядок и сроки проведения камеральных проверок; требования к составлению акта камеральной проверки; порядок исчисления и уплаты страховых взносов; принципы формирования статистической налоговой отчетности; порядок проведения мероприятий налогового контроля; практика применения законодательства Российской Федерации о налогах и сборах в служебной деятельности.</w:t>
      </w:r>
    </w:p>
    <w:p w14:paraId="18000000">
      <w:pPr>
        <w:ind w:firstLine="709"/>
        <w:jc w:val="both"/>
      </w:pPr>
      <w: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14:paraId="19000000">
      <w:pPr>
        <w:ind w:firstLine="709"/>
        <w:jc w:val="both"/>
      </w:pPr>
      <w: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14:paraId="1A000000">
      <w:pPr>
        <w:ind w:firstLine="709"/>
        <w:jc w:val="both"/>
      </w:pPr>
      <w:r>
        <w:t>Наличие профессиональных умений: составление акта по результатам проведения камеральной налоговой проверки</w:t>
      </w:r>
    </w:p>
    <w:p w14:paraId="1B000000">
      <w:pPr>
        <w:ind w:firstLine="709"/>
        <w:jc w:val="both"/>
      </w:pPr>
      <w:r>
        <w:t>Наличие функциональных умений: проведение плановых и внеплановых документарных (камеральных)   проверок (обследований)</w:t>
      </w:r>
    </w:p>
    <w:p w14:paraId="1C000000">
      <w:pPr>
        <w:widowControl w:val="0"/>
        <w:ind w:firstLine="709"/>
        <w:jc w:val="both"/>
      </w:pPr>
      <w:r>
        <w:rPr>
          <w:b w:val="1"/>
          <w:color w:val="000000"/>
          <w:spacing w:val="-2"/>
        </w:rPr>
        <w:t>Должностные обязанности:</w:t>
      </w:r>
      <w:r>
        <w:t xml:space="preserve"> проводить камеральные проверки всей представляемой  налогоплательщиками, отнесенными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результатов»;</w:t>
      </w:r>
      <w:r>
        <w:t xml:space="preserve"> осуществлять контроль за </w:t>
      </w:r>
      <w:r>
        <w:t>применением мер налоговой ответственности, в случае непредставления в установленный срок налогоплательщиком (налоговым агентом) налоговых деклараций (расчетов), сведений, необходимых для осуществления налогового контроля;</w:t>
      </w:r>
      <w:r>
        <w:rPr>
          <w:color w:val="000000"/>
        </w:rPr>
        <w:t xml:space="preserve">   проведение проверок соблюдения положений валютного законодательства РФ</w:t>
      </w:r>
    </w:p>
    <w:p w14:paraId="1D000000">
      <w:pPr>
        <w:widowControl w:val="0"/>
        <w:ind/>
        <w:jc w:val="both"/>
      </w:pPr>
    </w:p>
    <w:p w14:paraId="1E000000">
      <w:pPr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Квалификационные требования для замещения должности гражданской службы (на </w:t>
      </w:r>
      <w:r>
        <w:rPr>
          <w:b w:val="1"/>
          <w:color w:val="000000"/>
        </w:rPr>
        <w:t xml:space="preserve">старшего </w:t>
      </w:r>
      <w:r>
        <w:rPr>
          <w:b w:val="1"/>
          <w:color w:val="000000"/>
        </w:rPr>
        <w:t>государственного налогового инспектора отдела камеральных проверок №2)</w:t>
      </w:r>
    </w:p>
    <w:p w14:paraId="1F000000">
      <w:pPr>
        <w:widowControl w:val="0"/>
        <w:ind w:firstLine="709"/>
        <w:contextualSpacing w:val="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Наличие базовых знаний: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технологий.</w:t>
      </w:r>
    </w:p>
    <w:p w14:paraId="20000000">
      <w:pPr>
        <w:widowControl w:val="0"/>
        <w:ind w:firstLine="709"/>
        <w:jc w:val="both"/>
      </w:pPr>
      <w:r>
        <w:t>Наличие профессиональных знаний: В сфере законодательства Российской Федерации: Налоговый кодекс РФ;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постановление Правительства Российской Федерации от 28 августа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 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Гражданский кодекс Российской Федерации (часть первая) от 30 ноября 1994 г. N 51-ФЗ; "Семейный кодекс Российской Федерации"; П</w:t>
      </w:r>
      <w:r>
        <w:fldChar w:fldCharType="begin"/>
      </w:r>
      <w:r>
        <w:instrText>HYPERLINK "consultantplus://offline/ref=FC3FB62321C91910F0017EC7D901747B2B125553FC06FA6676237CB9BFs5f9F"</w:instrText>
      </w:r>
      <w:r>
        <w:fldChar w:fldCharType="separate"/>
      </w:r>
      <w:r>
        <w:t>риказ</w:t>
      </w:r>
      <w:r>
        <w:fldChar w:fldCharType="end"/>
      </w:r>
      <w:r>
        <w:t xml:space="preserve"> ФНС России от 10 ноября 2016 г. N ММВ-7-6/609@ "Об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налогам"; </w:t>
      </w:r>
      <w:r>
        <w:fldChar w:fldCharType="begin"/>
      </w:r>
      <w:r>
        <w:instrText>HYPERLINK "consultantplus://offline/ref=FC3FB62321C91910F0017EC7D901747B2B135454FB0AFA6676237CB9BFs5f9F"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24 декабря 2014 г. N ММВ-7-11/671@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3-НДФЛ); Приказ ФНС России от 16 сентября 2011 г. N ММВ-7-3/576@ "Об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2011 N 22107), в редакции приказа ФНС России от 08 декабря 2014 N ММВ-7-11/617@ (зарегистрирован в Минюсте России 31 декабря 2014 N 35526); </w:t>
      </w:r>
      <w:r>
        <w:fldChar w:fldCharType="begin"/>
      </w:r>
      <w:r>
        <w:instrText>HYPERLINK "consultantplus://offline/ref=FC3FB62321C91910F0017EC7D901747B2B135454FB0AFA6676237CB9BFs5f9F"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24 декабря 2014 г. N ММВ-7-11/671@ "Об утверждении формы налоговой декларации по налогу на доходы физических лиц (форма 3-НДФЛ), порядка ее заполнения и формата налоговой декларации по налогу на доходы физических лиц (форма 3-НДФЛ), (зарегистрирован в Минюсте России 30 января 2015 N 35796), в редакции приказа ФНС России от 25 ноября 2015 N ММВ-7-11/544@ (зарегистрирован в Минюсте России 18 декабря 2015 N 40163); </w:t>
      </w:r>
      <w:r>
        <w:fldChar w:fldCharType="begin"/>
      </w:r>
      <w:r>
        <w:instrText>HYPERLINK "consultantplus://offline/ref=FC3FB62321C91910F0017EC7D901747B2B13505EFD0DFA6676237CB9BFs5f9F"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Федерации" (зарегистрирован в Минюсте России 04 августа 2016 N 43119); </w:t>
      </w:r>
      <w:r>
        <w:fldChar w:fldCharType="begin"/>
      </w:r>
      <w:r>
        <w:instrText>HYPERLINK "consultantplus://offline/ref=FC3FB62321C91910F0017EC7D901747B2A105256F105A76C7E7A70BBsBf8F"</w:instrText>
      </w:r>
      <w:r>
        <w:fldChar w:fldCharType="separate"/>
      </w:r>
      <w:r>
        <w:t>Приказ</w:t>
      </w:r>
      <w:r>
        <w:fldChar w:fldCharType="end"/>
      </w:r>
      <w:r>
        <w:t xml:space="preserve"> Министерства здравоохранения Российской Федерации N 289 и Министерства Российской Ф</w:t>
      </w:r>
      <w:r>
        <w:t xml:space="preserve">едерации по налогам и сборам N БГ-3-04/256 от 25 июля 2001 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 (зарегистрирован в Минюсте Российской Федерации 13 августа 2001 N 2874); </w:t>
      </w:r>
      <w:r>
        <w:fldChar w:fldCharType="begin"/>
      </w:r>
      <w:r>
        <w:instrText>HYPERLINK "consultantplus://offline/ref=FC3FB62321C91910F0017EC7D901747B2D1B5A53FD05A76C7E7A70BBsBf8F"</w:instrText>
      </w:r>
      <w:r>
        <w:fldChar w:fldCharType="separate"/>
      </w:r>
      <w:r>
        <w:t>Приказ</w:t>
      </w:r>
      <w:r>
        <w:fldChar w:fldCharType="end"/>
      </w:r>
      <w:r>
        <w:t xml:space="preserve"> Министерства Российской Федерации по налогам и сборам от 27 июля 2004 г. N САЭ-3-04/440@ "О форме налогового уведомления на уплату налога на доходы физических лиц" (зарегистрирован в Минюсте России 11 августа 2004 N 5967). </w:t>
      </w:r>
      <w:r>
        <w:fldChar w:fldCharType="begin"/>
      </w:r>
      <w:r>
        <w:instrText>HYPERLINK "consultantplus://offline/ref=FC3FB62321C91910F0017EC7D901747B28145555FE06FA6676237CB9BFs5f9F"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14 января 2015 г. N ММВ-7-11/3@ "Об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Федерации" (зарегистрирован в Минюсте России 30 марта 2015 N 36625); </w:t>
      </w:r>
      <w:r>
        <w:fldChar w:fldCharType="begin"/>
      </w:r>
      <w:r>
        <w:instrText>HYPERLINK "consultantplus://offline/ref=FC3FB62321C91910F0017EC7D901747B28145652FF0DFA6676237CB9BFs5f9F"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15 декабря 2014 г. N ММВ-7-11/646@ "Об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лицу" (зарегистрирован в Минюсте России 23 января 2015 N 35652); </w:t>
      </w:r>
      <w:r>
        <w:fldChar w:fldCharType="begin"/>
      </w:r>
      <w:r>
        <w:instrText>HYPERLINK "consultantplus://offline/ref=FC3FB62321C91910F0017EC7D901747B28145656FE0FFA6676237CB9BFs5f9F"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15 декабря 2014 г. N ММВ-7-11/645@ "Об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связи" (зарегистрирован в Минюсте России 29 декабря 2014 N 35456); </w:t>
      </w:r>
      <w:r>
        <w:fldChar w:fldCharType="begin"/>
      </w:r>
      <w:r>
        <w:instrText>HYPERLINK "consultantplus://offline/ref=FC3FB62321C91910F0017EC7D901747B2B135A5EFA0BFA6676237CB9BFs5f9F"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10 сентября 2015 г. N ММВ-7-11/387@ "Об утверждении кодов видов доходов и вычетов" (зарегистрирован в Минюсте России 13 ноября 2015 N 39705); </w:t>
      </w:r>
      <w:r>
        <w:fldChar w:fldCharType="begin"/>
      </w:r>
      <w:r>
        <w:instrText>HYPERLINK "consultantplus://offline/ref=FC3FB62321C91910F0017EC7D901747B281B5B5FFF0AFA6676237CB9BFs5f9F"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13 ноября 2015 г. N ММВ-7-11/512@ "Об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02 декабря 2015 N 39925);  </w:t>
      </w:r>
      <w:r>
        <w:fldChar w:fldCharType="begin"/>
      </w:r>
      <w:r>
        <w:instrText>HYPERLINK "consultantplus://offline/ref=FC3FB62321C91910F0017EC7D901747B28145550F10AFA6676237CB9BFs5f9F"</w:instrText>
      </w:r>
      <w:r>
        <w:fldChar w:fldCharType="separate"/>
      </w:r>
      <w:r>
        <w:t>Приказ</w:t>
      </w:r>
      <w:r>
        <w:fldChar w:fldCharType="end"/>
      </w:r>
      <w:r>
        <w:t xml:space="preserve"> ФНС России от 17 марта 2015 г.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 (зарегистрирован в Минюсте России 02 апреля 2015 N 36699);</w:t>
      </w:r>
    </w:p>
    <w:p w14:paraId="21000000">
      <w:pPr>
        <w:widowControl w:val="0"/>
        <w:ind/>
        <w:jc w:val="both"/>
      </w:pPr>
      <w:r>
        <w:t xml:space="preserve">             </w:t>
      </w:r>
      <w:r>
        <w:t>Старший г</w:t>
      </w:r>
      <w:r>
        <w:t xml:space="preserve"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14:paraId="22000000">
      <w:pPr>
        <w:widowControl w:val="0"/>
        <w:ind w:firstLine="709"/>
        <w:jc w:val="both"/>
        <w:rPr>
          <w:spacing w:val="-2"/>
        </w:rPr>
      </w:pPr>
      <w:r>
        <w:t>Иные профессиональные знания: порядок и сроки проведения камеральных проверок; требования к составлению акта камеральной проверки; порядок исчисления и уплаты страховых взносов; принципы формирования статистической налоговой отчетности; порядок проведения мероприятий налогового контроля; практика применения законодательства Российской Федерации о налогах и сборах в служебной деятельности</w:t>
      </w:r>
      <w:r>
        <w:rPr>
          <w:spacing w:val="-2"/>
        </w:rPr>
        <w:t xml:space="preserve">    </w:t>
      </w:r>
    </w:p>
    <w:p w14:paraId="23000000">
      <w:pPr>
        <w:widowControl w:val="0"/>
        <w:ind w:firstLine="709"/>
        <w:jc w:val="both"/>
        <w:rPr>
          <w:color w:val="000000"/>
          <w:spacing w:val="-2"/>
        </w:rPr>
      </w:pPr>
      <w:r>
        <w:rPr>
          <w:spacing w:val="-2"/>
        </w:rPr>
        <w:t>Наличие функциональных знаний</w:t>
      </w:r>
      <w:r>
        <w:rPr>
          <w:color w:val="000000"/>
          <w:spacing w:val="-2"/>
        </w:rPr>
        <w:t xml:space="preserve">: </w:t>
      </w:r>
      <w:r>
        <w:rPr>
          <w:spacing w:val="-2"/>
        </w:rPr>
        <w:t>принципы, методы, технологии и механизмы осуществления контроля (надзора);</w:t>
      </w:r>
      <w:r>
        <w:rPr>
          <w:color w:val="000000"/>
          <w:spacing w:val="-2"/>
        </w:rPr>
        <w:t xml:space="preserve"> </w:t>
      </w:r>
      <w:r>
        <w:rPr>
          <w:spacing w:val="-2"/>
        </w:rPr>
        <w:t>виды, назначение и технологии организации проверочных процедур; понятие единого реестра проверок, процедура его формирования;</w:t>
      </w:r>
      <w:r>
        <w:rPr>
          <w:color w:val="000000"/>
          <w:spacing w:val="-2"/>
        </w:rPr>
        <w:t xml:space="preserve"> </w:t>
      </w:r>
      <w:r>
        <w:rPr>
          <w:spacing w:val="-2"/>
        </w:rPr>
        <w:t>процедура организации проверки: порядок, этапы, инструменты проведения;</w:t>
      </w:r>
      <w:r>
        <w:rPr>
          <w:color w:val="000000"/>
          <w:spacing w:val="-2"/>
        </w:rPr>
        <w:t xml:space="preserve"> </w:t>
      </w:r>
      <w:r>
        <w:rPr>
          <w:spacing w:val="-2"/>
        </w:rPr>
        <w:t>ограничения при проведении проверочных процедур; меры, принимаемые по результатам проверки;</w:t>
      </w:r>
      <w:r>
        <w:rPr>
          <w:color w:val="000000"/>
          <w:spacing w:val="-2"/>
        </w:rPr>
        <w:t xml:space="preserve"> </w:t>
      </w:r>
      <w:r>
        <w:rPr>
          <w:spacing w:val="-2"/>
        </w:rPr>
        <w:t>плановые (рейдовые) осмотры;</w:t>
      </w:r>
      <w:r>
        <w:rPr>
          <w:color w:val="000000"/>
          <w:spacing w:val="-2"/>
        </w:rPr>
        <w:t xml:space="preserve"> </w:t>
      </w:r>
      <w:r>
        <w:rPr>
          <w:spacing w:val="-2"/>
        </w:rPr>
        <w:t>основания проведения и особенности внеплановых проверок.</w:t>
      </w:r>
    </w:p>
    <w:p w14:paraId="24000000">
      <w:pPr>
        <w:widowControl w:val="0"/>
        <w:ind w:firstLine="709"/>
        <w:jc w:val="both"/>
        <w:rPr>
          <w:color w:val="FF0000"/>
        </w:rPr>
      </w:pPr>
      <w:r>
        <w:t xml:space="preserve">Наличие базовых умений: </w:t>
      </w:r>
      <w:r>
        <w:rPr>
          <w:color w:val="000000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</w:t>
      </w:r>
      <w:r>
        <w:rPr>
          <w:color w:val="FF0000"/>
        </w:rPr>
        <w:t xml:space="preserve"> </w:t>
      </w:r>
      <w:r>
        <w:rPr>
          <w:color w:val="000000"/>
        </w:rPr>
        <w:t>умение управлять изменениями; умение руководить подчиненными, эффективно планировать, организовывать работу и контролировать ее выполнение;</w:t>
      </w:r>
      <w:r>
        <w:rPr>
          <w:color w:val="FF0000"/>
        </w:rPr>
        <w:t xml:space="preserve"> </w:t>
      </w:r>
      <w:r>
        <w:rPr>
          <w:color w:val="000000"/>
        </w:rPr>
        <w:t>умение оперативно принимать и реализовывать управленческие решения.</w:t>
      </w:r>
    </w:p>
    <w:p w14:paraId="25000000">
      <w:pPr>
        <w:widowControl w:val="0"/>
        <w:ind w:firstLine="709"/>
        <w:jc w:val="both"/>
      </w:pPr>
      <w:r>
        <w:t>Наличие профессиональных умений: составление акта по результатам проведения камеральной налоговой проверки</w:t>
      </w:r>
    </w:p>
    <w:p w14:paraId="26000000">
      <w:pPr>
        <w:widowControl w:val="0"/>
        <w:ind w:firstLine="709"/>
        <w:jc w:val="both"/>
      </w:pPr>
      <w:r>
        <w:t>Наличие функциональных умений: проведение плановых и внеплановых документарных (камеральных)   проверок (обследований)</w:t>
      </w:r>
    </w:p>
    <w:p w14:paraId="27000000">
      <w:pPr>
        <w:widowControl w:val="0"/>
        <w:ind/>
        <w:jc w:val="both"/>
        <w:rPr>
          <w:color w:val="000000"/>
          <w:spacing w:val="-2"/>
        </w:rPr>
      </w:pPr>
      <w:r>
        <w:rPr>
          <w:b w:val="1"/>
          <w:color w:val="000000"/>
          <w:spacing w:val="-2"/>
        </w:rPr>
        <w:t xml:space="preserve">           Должностные обязанности</w:t>
      </w:r>
      <w:r>
        <w:rPr>
          <w:color w:val="000000"/>
          <w:spacing w:val="-2"/>
        </w:rPr>
        <w:t>: проводить камеральные проверки всей представляемой  налогоплательщиками, отнесенными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результатов»; проводить камеральные налоговые проверки в соответствии с отраслевыми «Методическими рекомендациями по проведению камеральной налоговой проверки …», указаниями, распоряжениями и разъяснениями вышестоящего налогового органа и руководства; соблюдать регламентацию действий работника отдела камеральных проверок, утвержденную инструкциями на рабочие места РМ 10-2-1 «Проведение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проверок»</w:t>
      </w:r>
    </w:p>
    <w:p w14:paraId="28000000">
      <w:pPr>
        <w:widowControl w:val="0"/>
        <w:ind/>
        <w:jc w:val="both"/>
        <w:rPr>
          <w:b w:val="1"/>
          <w:color w:val="000000"/>
        </w:rPr>
      </w:pPr>
    </w:p>
    <w:p w14:paraId="29000000">
      <w:pPr>
        <w:widowControl w:val="0"/>
        <w:ind/>
        <w:jc w:val="both"/>
        <w:rPr>
          <w:b w:val="1"/>
          <w:color w:val="000000"/>
        </w:rPr>
      </w:pPr>
    </w:p>
    <w:p w14:paraId="2A000000">
      <w:pPr>
        <w:widowControl w:val="0"/>
        <w:ind/>
        <w:jc w:val="both"/>
        <w:rPr>
          <w:b w:val="1"/>
          <w:color w:val="000000"/>
        </w:rPr>
      </w:pPr>
    </w:p>
    <w:p w14:paraId="2B000000">
      <w:pPr>
        <w:widowControl w:val="0"/>
        <w:ind/>
        <w:jc w:val="both"/>
        <w:rPr>
          <w:b w:val="1"/>
          <w:color w:val="000000"/>
        </w:rPr>
      </w:pPr>
    </w:p>
    <w:p w14:paraId="2C000000">
      <w:pPr>
        <w:widowControl w:val="0"/>
        <w:ind/>
        <w:jc w:val="both"/>
        <w:rPr>
          <w:b w:val="1"/>
          <w:color w:val="000000"/>
        </w:rPr>
      </w:pPr>
    </w:p>
    <w:p w14:paraId="2D000000">
      <w:pPr>
        <w:widowControl w:val="0"/>
        <w:ind/>
        <w:jc w:val="both"/>
      </w:pPr>
      <w:r>
        <w:t>Денежное содержание федеральных государственных гражданских служащих Межрайонной инспекции Федеральной налоговой службы № 15 по Самарской области состоит из: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27"/>
        <w:gridCol w:w="3402"/>
        <w:gridCol w:w="3688"/>
      </w:tblGrid>
      <w:tr>
        <w:trPr>
          <w:trHeight w:hRule="atLeast" w:val="455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/>
        </w:tc>
        <w:tc>
          <w:tcPr>
            <w:tcW w:type="dxa" w:w="3402"/>
            <w:tcBorders>
              <w:lef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2"/>
              </w:rPr>
            </w:pPr>
          </w:p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</w:t>
            </w:r>
          </w:p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  <w:p w14:paraId="3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88"/>
            <w:shd w:fill="auto" w:val="clear"/>
          </w:tcPr>
          <w:p w14:paraId="34000000">
            <w:pPr>
              <w:ind/>
              <w:jc w:val="center"/>
              <w:rPr>
                <w:sz w:val="22"/>
              </w:rPr>
            </w:pPr>
          </w:p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</w:t>
            </w:r>
          </w:p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</w:p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налоговый инспектор</w:t>
            </w:r>
          </w:p>
          <w:p w14:paraId="38000000">
            <w:pPr>
              <w:ind/>
              <w:jc w:val="center"/>
              <w:rPr>
                <w:sz w:val="22"/>
              </w:rPr>
            </w:pPr>
          </w:p>
          <w:p w14:paraId="39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402"/>
            <w:tcBorders>
              <w:lef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2"/>
              </w:rPr>
            </w:pPr>
          </w:p>
          <w:p w14:paraId="3C000000">
            <w:pPr>
              <w:ind/>
              <w:jc w:val="center"/>
              <w:rPr>
                <w:sz w:val="22"/>
              </w:rPr>
            </w:pP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5472,00</w:t>
            </w:r>
          </w:p>
        </w:tc>
        <w:tc>
          <w:tcPr>
            <w:tcW w:type="dxa" w:w="3688"/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</w:p>
          <w:p w14:paraId="3F000000">
            <w:pPr>
              <w:ind/>
              <w:jc w:val="center"/>
              <w:rPr>
                <w:sz w:val="22"/>
              </w:rPr>
            </w:pPr>
          </w:p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4927,00</w:t>
            </w:r>
          </w:p>
        </w:tc>
      </w:tr>
      <w:tr>
        <w:trPr>
          <w:trHeight w:hRule="atLeast" w:val="59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</w:p>
          <w:p w14:paraId="4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размерах, установленных законодательством РФ</w:t>
            </w:r>
          </w:p>
          <w:p w14:paraId="44000000">
            <w:pPr>
              <w:rPr>
                <w:sz w:val="20"/>
              </w:rPr>
            </w:pPr>
          </w:p>
        </w:tc>
      </w:tr>
      <w:tr>
        <w:trPr>
          <w:trHeight w:hRule="atLeast" w:val="878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rPr>
                <w:sz w:val="22"/>
              </w:rPr>
            </w:pP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жемесячной надбавки за выслугу </w:t>
            </w:r>
            <w:r>
              <w:rPr>
                <w:sz w:val="22"/>
              </w:rPr>
              <w:t>лет на</w:t>
            </w:r>
            <w:r>
              <w:rPr>
                <w:sz w:val="22"/>
              </w:rPr>
              <w:t xml:space="preserve"> государственной гражданской службе Российской Федерации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 30%</w:t>
            </w:r>
          </w:p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</w:t>
            </w:r>
            <w:r>
              <w:rPr>
                <w:sz w:val="20"/>
              </w:rPr>
              <w:t>о</w:t>
            </w:r>
          </w:p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</w:t>
            </w:r>
            <w:r>
              <w:rPr>
                <w:sz w:val="20"/>
              </w:rPr>
              <w:t>да</w:t>
            </w:r>
          </w:p>
        </w:tc>
      </w:tr>
      <w:tr>
        <w:trPr>
          <w:trHeight w:hRule="atLeast" w:val="942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0"/>
              </w:rPr>
            </w:pPr>
          </w:p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</w:p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570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>Ежемесячного денежного поощрения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размере 1 должностного</w:t>
            </w:r>
          </w:p>
          <w:p w14:paraId="5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оклад</w:t>
            </w:r>
            <w:r>
              <w:rPr>
                <w:sz w:val="20"/>
              </w:rPr>
              <w:t>а</w:t>
            </w:r>
          </w:p>
        </w:tc>
      </w:tr>
      <w:tr>
        <w:trPr>
          <w:trHeight w:hRule="atLeast" w:val="856"/>
        </w:trP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7090"/>
            <w:gridSpan w:val="2"/>
            <w:tcBorders>
              <w:lef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месячных оклада</w:t>
            </w:r>
          </w:p>
          <w:p w14:paraId="5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денежного содержания</w:t>
            </w:r>
          </w:p>
          <w:p w14:paraId="56000000">
            <w:pPr>
              <w:rPr>
                <w:sz w:val="20"/>
              </w:rPr>
            </w:pP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709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0"/>
              </w:rPr>
            </w:pPr>
            <w:r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1031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00000">
            <w:pPr>
              <w:rPr>
                <w:sz w:val="20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14:paraId="5A000000">
      <w:pPr>
        <w:widowControl w:val="0"/>
        <w:ind w:firstLine="709"/>
        <w:jc w:val="both"/>
      </w:pPr>
      <w:r>
        <w:t>Основные права и обязанности гражданского служащего, а также запреты и требования, связанные с гражданской службой,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14:paraId="5B000000">
      <w:pPr>
        <w:widowControl w:val="0"/>
        <w:ind w:firstLine="709"/>
        <w:jc w:val="both"/>
      </w:pPr>
      <w:r>
        <w:t>Гражданский служащий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5C000000">
      <w:pPr>
        <w:widowControl w:val="0"/>
        <w:ind/>
        <w:jc w:val="both"/>
      </w:pPr>
      <w:r>
        <w:t xml:space="preserve">            Эффективность и результативность профессиональной служебной деятельности гражданского служащего оценивается по следующим показателям: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действий, принимаемых решений.</w:t>
      </w:r>
    </w:p>
    <w:p w14:paraId="5D000000">
      <w:pPr>
        <w:ind w:firstLine="708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5E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(государственный гражданский служащий) представляет следующие документы:</w:t>
      </w:r>
    </w:p>
    <w:p w14:paraId="5F000000">
      <w:pPr>
        <w:ind w:firstLine="708"/>
        <w:jc w:val="both"/>
      </w:pPr>
      <w:r>
        <w:t>личное заявление;</w:t>
      </w:r>
    </w:p>
    <w:p w14:paraId="60000000">
      <w:pPr>
        <w:ind w:firstLine="708"/>
        <w:jc w:val="both"/>
      </w:pPr>
      <w:r>
        <w:t xml:space="preserve">заполненную и подписанную анкету, по форме утвержденной </w:t>
      </w:r>
      <w:r>
        <w:t>распоряжением Правительства</w:t>
      </w:r>
      <w:r>
        <w:t xml:space="preserve"> Российской Федерации </w:t>
      </w:r>
      <w:r>
        <w:t xml:space="preserve">с </w:t>
      </w:r>
      <w:r>
        <w:t>фотографи</w:t>
      </w:r>
      <w:r>
        <w:t>ей</w:t>
      </w:r>
      <w:r>
        <w:t>;</w:t>
      </w:r>
    </w:p>
    <w:p w14:paraId="61000000">
      <w:pPr>
        <w:ind w:firstLine="708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2000000">
      <w:pPr>
        <w:ind w:firstLine="708"/>
        <w:jc w:val="both"/>
      </w:pPr>
      <w:r>
        <w:t xml:space="preserve"> </w:t>
      </w:r>
      <w:r>
        <w:t>документы, подтверждающие необходимое профессиональное образование, стаж работы и квалификацию:</w:t>
      </w:r>
    </w:p>
    <w:p w14:paraId="63000000">
      <w:pPr>
        <w:ind w:firstLine="708"/>
        <w:jc w:val="both"/>
      </w:pPr>
      <w:r>
        <w:t xml:space="preserve"> </w:t>
      </w:r>
      <w:r>
        <w:t>копию трудовой книжки (за исключением случаев, когда служебная (трудовая) деятельность осуществляется впервые),</w:t>
      </w:r>
      <w:r>
        <w:t xml:space="preserve"> заверенную нотариально или кадровой службой по месту работы (службы)</w:t>
      </w:r>
      <w:r>
        <w:t xml:space="preserve"> или иные документы, подтверждающие трудовую (служебную) деятельность гражданина;</w:t>
      </w:r>
    </w:p>
    <w:p w14:paraId="64000000">
      <w:pPr>
        <w:ind w:firstLine="708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65000000">
      <w:pPr>
        <w:ind w:firstLine="708"/>
        <w:jc w:val="both"/>
      </w:pPr>
      <w:r>
        <w:t>документ об отсутствии у гражданина заболевания, препятствующего поступлению на гражданскую слу</w:t>
      </w:r>
      <w:r>
        <w:t>жбу или ее прохождению (Учетная форма №</w:t>
      </w:r>
      <w:r>
        <w:t xml:space="preserve"> 001-</w:t>
      </w:r>
      <w:r>
        <w:t>ГС/у Утвержденная Приказом Минздравсоцразвития России от 14 декабря 2009 г. № 984н</w:t>
      </w:r>
      <w:r>
        <w:t>)</w:t>
      </w:r>
      <w:r>
        <w:t xml:space="preserve">; </w:t>
      </w:r>
    </w:p>
    <w:p w14:paraId="66000000">
      <w:pPr>
        <w:ind w:firstLine="709"/>
        <w:jc w:val="both"/>
      </w:pPr>
      <w:r>
        <w:t>иные документы, предусмотренные Федеральным законом от 27.07.2004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7000000">
      <w:pPr>
        <w:ind w:firstLine="709"/>
        <w:jc w:val="both"/>
      </w:pPr>
      <w:r>
        <w:t xml:space="preserve">При подаче документов на конкурс гражданин оформляет письменное согласие </w:t>
      </w:r>
      <w:r>
        <w:t>на обработку персональных данных в Межрайонную ИФНС России №15 по Самарской области.</w:t>
      </w:r>
    </w:p>
    <w:p w14:paraId="68000000">
      <w:pPr>
        <w:ind w:firstLine="540"/>
        <w:jc w:val="both"/>
      </w:pPr>
      <w:r>
        <w:t xml:space="preserve"> </w:t>
      </w:r>
      <w:r>
        <w:t xml:space="preserve"> </w:t>
      </w:r>
      <w:r>
        <w:t xml:space="preserve"> </w:t>
      </w:r>
      <w:r>
        <w:t xml:space="preserve"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</w:t>
      </w:r>
      <w:r>
        <w:t>Правительством Российской Федерации.</w:t>
      </w:r>
    </w:p>
    <w:p w14:paraId="69000000">
      <w:pPr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A000000">
      <w:pPr>
        <w:ind w:firstLine="708"/>
        <w:jc w:val="both"/>
      </w:pPr>
      <w:bookmarkStart w:id="1" w:name="sub_1010"/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B000000">
      <w:pPr>
        <w:ind w:firstLine="708"/>
        <w:jc w:val="both"/>
      </w:pPr>
      <w:bookmarkEnd w:id="1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t xml:space="preserve"> (гражданскому служащему)</w:t>
      </w:r>
      <w:r>
        <w:t xml:space="preserve"> в их приеме.</w:t>
      </w:r>
    </w:p>
    <w:p w14:paraId="6C000000">
      <w:pPr>
        <w:ind w:firstLine="708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D000000">
      <w:pPr>
        <w:ind w:firstLine="708"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E000000">
      <w:pPr>
        <w:ind w:firstLine="708"/>
        <w:jc w:val="both"/>
      </w:pPr>
      <w:bookmarkEnd w:id="2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>
        <w:t>(</w:t>
      </w:r>
      <w:r>
        <w:t>тестировани</w:t>
      </w:r>
      <w:r>
        <w:t>е, индивидуальное собеседование</w:t>
      </w:r>
      <w:r>
        <w:t xml:space="preserve">) </w:t>
      </w:r>
      <w:r>
        <w:t>по вопросам, связанным с выполнением должностных обязанностей по вакантной должности гражданской службы, на замещен</w:t>
      </w:r>
      <w:r>
        <w:t>ие которой претендуют кандидаты.</w:t>
      </w:r>
      <w:r>
        <w:t xml:space="preserve">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14:paraId="6F000000">
      <w:pPr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тестирования и индивидуального собеседования.</w:t>
      </w:r>
    </w:p>
    <w:p w14:paraId="70000000">
      <w:pPr>
        <w:ind w:firstLine="708"/>
        <w:jc w:val="both"/>
      </w:pPr>
      <w: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14:paraId="71000000">
      <w:pPr>
        <w:ind w:firstLine="708"/>
        <w:jc w:val="both"/>
      </w:pPr>
      <w:bookmarkStart w:id="3" w:name="sub_1022"/>
      <w:r>
        <w:t>Решение конкурсной комиссии об определении победителя конкурса на вакантную должность гражданской службы</w:t>
      </w:r>
      <w:r>
        <w:t xml:space="preserve"> принимается открытым голосованием простым большинством голосов ее членов, присутствующих на заседании. </w:t>
      </w:r>
    </w:p>
    <w:p w14:paraId="72000000">
      <w:pPr>
        <w:ind w:firstLine="708"/>
        <w:jc w:val="both"/>
      </w:pPr>
      <w:r>
        <w:t>Решение является основанием для назначения кандидата на вакантную должность гражданской службы либо отказа в таком назначении.</w:t>
      </w:r>
    </w:p>
    <w:p w14:paraId="73000000">
      <w:pPr>
        <w:ind w:firstLine="708"/>
        <w:jc w:val="both"/>
      </w:pPr>
      <w:bookmarkStart w:id="4" w:name="sub_1024"/>
      <w:bookmarkEnd w:id="3"/>
      <w:r>
        <w:t xml:space="preserve">Кандидатам, участвовавшим в конкурсе, сообщается о результатах конкурса в письменной форме в </w:t>
      </w:r>
      <w:r>
        <w:t>7-дневный срок со дня</w:t>
      </w:r>
      <w:r>
        <w:t xml:space="preserve"> его завершения. Информация о результатах конкурса размещается на </w:t>
      </w:r>
      <w:r>
        <w:t xml:space="preserve">официальном </w:t>
      </w:r>
      <w:r>
        <w:t>сайте Федеральной налоговой службы в информационно-телекоммуникационной сети общего пользования.</w:t>
      </w:r>
    </w:p>
    <w:p w14:paraId="74000000">
      <w:pPr>
        <w:ind w:firstLine="708"/>
        <w:jc w:val="both"/>
      </w:pPr>
      <w:bookmarkStart w:id="5" w:name="sub_1025"/>
      <w:bookmarkEnd w:id="4"/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75000000">
      <w:pPr>
        <w:ind w:firstLine="708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7" w:name="sub_1027"/>
      <w:bookmarkEnd w:id="6"/>
    </w:p>
    <w:p w14:paraId="76000000">
      <w:pPr>
        <w:pStyle w:val="Style_5"/>
        <w:widowControl w:val="1"/>
        <w:ind w:firstLine="708" w:right="0"/>
        <w:jc w:val="both"/>
        <w:rPr>
          <w:rFonts w:ascii="Times New Roman" w:hAnsi="Times New Roman"/>
          <w:color w:val="000000"/>
          <w:sz w:val="24"/>
        </w:rPr>
      </w:pPr>
      <w:bookmarkEnd w:id="7"/>
      <w:r>
        <w:rPr>
          <w:rFonts w:ascii="Times New Roman" w:hAnsi="Times New Roman"/>
          <w:sz w:val="24"/>
        </w:rPr>
        <w:t xml:space="preserve">Прием документов для участия в конкурсе </w:t>
      </w:r>
      <w:r>
        <w:rPr>
          <w:rFonts w:ascii="Times New Roman" w:hAnsi="Times New Roman"/>
          <w:color w:val="000000"/>
          <w:sz w:val="24"/>
        </w:rPr>
        <w:t>будет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проводиться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22 мая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2020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года по </w:t>
      </w:r>
      <w:r>
        <w:rPr>
          <w:rFonts w:ascii="Times New Roman" w:hAnsi="Times New Roman"/>
          <w:color w:val="000000"/>
          <w:sz w:val="24"/>
        </w:rPr>
        <w:t xml:space="preserve">11 </w:t>
      </w:r>
      <w:r>
        <w:rPr>
          <w:rFonts w:ascii="Times New Roman" w:hAnsi="Times New Roman"/>
          <w:color w:val="000000"/>
          <w:sz w:val="24"/>
        </w:rPr>
        <w:t>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 xml:space="preserve"> года.</w:t>
      </w:r>
      <w:r>
        <w:rPr>
          <w:rFonts w:ascii="Times New Roman" w:hAnsi="Times New Roman"/>
          <w:color w:val="000000"/>
          <w:sz w:val="24"/>
        </w:rPr>
        <w:t xml:space="preserve"> Время приема доку</w:t>
      </w:r>
      <w:r>
        <w:rPr>
          <w:rFonts w:ascii="Times New Roman" w:hAnsi="Times New Roman"/>
          <w:color w:val="000000"/>
          <w:sz w:val="24"/>
        </w:rPr>
        <w:t xml:space="preserve">ментов: с 9 часов </w:t>
      </w:r>
      <w:r>
        <w:rPr>
          <w:rFonts w:ascii="Times New Roman" w:hAnsi="Times New Roman"/>
          <w:color w:val="000000"/>
          <w:sz w:val="24"/>
        </w:rPr>
        <w:t>30</w:t>
      </w:r>
      <w:r>
        <w:rPr>
          <w:rFonts w:ascii="Times New Roman" w:hAnsi="Times New Roman"/>
          <w:color w:val="000000"/>
          <w:sz w:val="24"/>
        </w:rPr>
        <w:t xml:space="preserve"> минут до </w:t>
      </w:r>
      <w:r>
        <w:rPr>
          <w:rFonts w:ascii="Times New Roman" w:hAnsi="Times New Roman"/>
          <w:color w:val="000000"/>
          <w:sz w:val="24"/>
        </w:rPr>
        <w:t>17 часов</w:t>
      </w:r>
      <w:r>
        <w:rPr>
          <w:rFonts w:ascii="Times New Roman" w:hAnsi="Times New Roman"/>
          <w:color w:val="000000"/>
          <w:sz w:val="24"/>
        </w:rPr>
        <w:t xml:space="preserve"> 00 минут (перерыв с 13 часов до </w:t>
      </w:r>
      <w:r>
        <w:rPr>
          <w:rFonts w:ascii="Times New Roman" w:hAnsi="Times New Roman"/>
          <w:color w:val="000000"/>
          <w:sz w:val="24"/>
        </w:rPr>
        <w:t>13.45</w:t>
      </w:r>
      <w:r>
        <w:rPr>
          <w:rFonts w:ascii="Times New Roman" w:hAnsi="Times New Roman"/>
          <w:color w:val="000000"/>
          <w:sz w:val="24"/>
        </w:rPr>
        <w:t xml:space="preserve"> часов), в пятницу с 09 часов 30 минут до 16 часов.</w:t>
      </w:r>
    </w:p>
    <w:p w14:paraId="77000000">
      <w:pPr>
        <w:pStyle w:val="Style_5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 приема документов: </w:t>
      </w:r>
      <w:r>
        <w:rPr>
          <w:rFonts w:ascii="Times New Roman" w:hAnsi="Times New Roman"/>
          <w:color w:val="000000"/>
          <w:sz w:val="24"/>
        </w:rPr>
        <w:t>445021, г</w:t>
      </w:r>
      <w:r>
        <w:rPr>
          <w:rFonts w:ascii="Times New Roman" w:hAnsi="Times New Roman"/>
          <w:color w:val="000000"/>
          <w:sz w:val="24"/>
        </w:rPr>
        <w:t>. Тольятти, ул. Голосов</w:t>
      </w:r>
      <w:r>
        <w:rPr>
          <w:rFonts w:ascii="Times New Roman" w:hAnsi="Times New Roman"/>
          <w:color w:val="000000"/>
          <w:sz w:val="24"/>
        </w:rPr>
        <w:t>а, 32а, Межрайонная ИФНС России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 15 по Самарской области (отдел</w:t>
      </w:r>
      <w:r>
        <w:rPr>
          <w:rFonts w:ascii="Times New Roman" w:hAnsi="Times New Roman"/>
          <w:color w:val="000000"/>
          <w:sz w:val="24"/>
        </w:rPr>
        <w:t xml:space="preserve"> общего обеспечения), кабинет №</w:t>
      </w:r>
      <w:r>
        <w:rPr>
          <w:rFonts w:ascii="Times New Roman" w:hAnsi="Times New Roman"/>
          <w:color w:val="000000"/>
          <w:sz w:val="24"/>
        </w:rPr>
        <w:t>16, телефон: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8/8482/</w:t>
      </w:r>
      <w:r>
        <w:rPr>
          <w:rFonts w:ascii="Times New Roman" w:hAnsi="Times New Roman"/>
          <w:sz w:val="24"/>
        </w:rPr>
        <w:t>97-20-11</w:t>
      </w:r>
      <w:r>
        <w:rPr>
          <w:rFonts w:ascii="Times New Roman" w:hAnsi="Times New Roman"/>
          <w:sz w:val="24"/>
        </w:rPr>
        <w:t xml:space="preserve">, факс: 8/8482/285952, e-mail: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6382</w:t>
      </w:r>
      <w:r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nalog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.</w:t>
      </w:r>
    </w:p>
    <w:p w14:paraId="78000000">
      <w:pPr>
        <w:pStyle w:val="Style_4"/>
        <w:widowControl w:val="1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планируется провести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30 </w:t>
      </w:r>
      <w:r>
        <w:rPr>
          <w:rFonts w:ascii="Times New Roman" w:hAnsi="Times New Roman"/>
          <w:color w:val="000000"/>
          <w:sz w:val="24"/>
        </w:rPr>
        <w:t>июня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20</w:t>
      </w:r>
      <w:r>
        <w:rPr>
          <w:rFonts w:ascii="Times New Roman" w:hAnsi="Times New Roman"/>
          <w:color w:val="000000"/>
          <w:sz w:val="24"/>
        </w:rPr>
        <w:t xml:space="preserve">20 </w:t>
      </w:r>
      <w:r>
        <w:rPr>
          <w:rFonts w:ascii="Times New Roman" w:hAnsi="Times New Roman"/>
          <w:color w:val="000000"/>
          <w:sz w:val="24"/>
        </w:rPr>
        <w:t>года</w:t>
      </w:r>
      <w:r>
        <w:rPr>
          <w:rFonts w:ascii="Times New Roman" w:hAnsi="Times New Roman"/>
          <w:color w:val="000000"/>
          <w:sz w:val="24"/>
        </w:rPr>
        <w:t xml:space="preserve"> в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часов</w:t>
      </w:r>
      <w:r>
        <w:rPr>
          <w:rFonts w:ascii="Times New Roman" w:hAnsi="Times New Roman"/>
          <w:color w:val="000000"/>
          <w:sz w:val="24"/>
        </w:rPr>
        <w:t xml:space="preserve"> 00</w:t>
      </w:r>
      <w:r>
        <w:rPr>
          <w:rFonts w:ascii="Times New Roman" w:hAnsi="Times New Roman"/>
          <w:sz w:val="24"/>
        </w:rPr>
        <w:t xml:space="preserve"> минут по адресу: </w:t>
      </w:r>
      <w:r>
        <w:rPr>
          <w:rFonts w:ascii="Times New Roman" w:hAnsi="Times New Roman"/>
          <w:sz w:val="24"/>
        </w:rPr>
        <w:t>445021, г</w:t>
      </w:r>
      <w:r>
        <w:rPr>
          <w:rFonts w:ascii="Times New Roman" w:hAnsi="Times New Roman"/>
          <w:sz w:val="24"/>
        </w:rPr>
        <w:t>. Тольятти, ул. Голосова, 32а.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Контактные телефоны:+7(8482) </w:t>
      </w:r>
      <w:r>
        <w:rPr>
          <w:rFonts w:ascii="Times New Roman" w:hAnsi="Times New Roman"/>
          <w:sz w:val="24"/>
        </w:rPr>
        <w:t>97-20-11.</w:t>
      </w:r>
    </w:p>
    <w:sectPr>
      <w:headerReference r:id="rId1" w:type="default"/>
      <w:pgSz w:h="16838" w:w="11906"/>
      <w:pgMar w:bottom="1134" w:footer="709" w:gutter="0" w:header="709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Body Text 3"/>
    <w:basedOn w:val="Style_6"/>
    <w:link w:val="Style_7_ch"/>
    <w:pPr>
      <w:spacing w:after="120"/>
      <w:ind/>
    </w:pPr>
    <w:rPr>
      <w:sz w:val="16"/>
    </w:rPr>
  </w:style>
  <w:style w:styleId="Style_7_ch" w:type="character">
    <w:name w:val="Body Text 3"/>
    <w:basedOn w:val="Style_6_ch"/>
    <w:link w:val="Style_7"/>
    <w:rPr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Основной текст2"/>
    <w:basedOn w:val="Style_6"/>
    <w:link w:val="Style_9_ch"/>
    <w:pPr>
      <w:widowControl w:val="0"/>
      <w:spacing w:before="420" w:line="274" w:lineRule="exact"/>
      <w:ind/>
      <w:jc w:val="both"/>
    </w:pPr>
    <w:rPr>
      <w:spacing w:val="2"/>
      <w:sz w:val="21"/>
    </w:rPr>
  </w:style>
  <w:style w:styleId="Style_9_ch" w:type="character">
    <w:name w:val="Основной текст2"/>
    <w:basedOn w:val="Style_6_ch"/>
    <w:link w:val="Style_9"/>
    <w:rPr>
      <w:spacing w:val="2"/>
      <w:sz w:val="21"/>
    </w:rPr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2" w:type="paragraph">
    <w:name w:val="Body Text"/>
    <w:basedOn w:val="Style_6"/>
    <w:link w:val="Style_2_ch"/>
    <w:pPr>
      <w:spacing w:after="120"/>
      <w:ind/>
    </w:pPr>
  </w:style>
  <w:style w:styleId="Style_2_ch" w:type="character">
    <w:name w:val="Body Text"/>
    <w:basedOn w:val="Style_6_ch"/>
    <w:link w:val="Style_2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Абзац списка1"/>
    <w:basedOn w:val="Style_6"/>
    <w:next w:val="Style_14"/>
    <w:link w:val="Style_13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Абзац списка1"/>
    <w:basedOn w:val="Style_6_ch"/>
    <w:link w:val="Style_13"/>
    <w:rPr>
      <w:rFonts w:ascii="Calibri" w:hAnsi="Calibri"/>
      <w:sz w:val="22"/>
    </w:rPr>
  </w:style>
  <w:style w:styleId="Style_15" w:type="paragraph">
    <w:name w:val="heading 3"/>
    <w:next w:val="Style_6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16" w:type="paragraph">
    <w:name w:val="Body Text Indent 3"/>
    <w:basedOn w:val="Style_6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6_ch"/>
    <w:link w:val="Style_16"/>
    <w:rPr>
      <w:sz w:val="16"/>
    </w:rPr>
  </w:style>
  <w:style w:styleId="Style_17" w:type="paragraph">
    <w:name w:val="ConsPlusNormal"/>
    <w:link w:val="Style_17_ch"/>
    <w:pPr>
      <w:widowControl w:val="0"/>
      <w:ind/>
    </w:pPr>
    <w:rPr>
      <w:rFonts w:ascii="Calibri" w:hAnsi="Calibri"/>
      <w:sz w:val="22"/>
    </w:rPr>
  </w:style>
  <w:style w:styleId="Style_17_ch" w:type="character">
    <w:name w:val="ConsPlusNormal"/>
    <w:link w:val="Style_17"/>
    <w:rPr>
      <w:rFonts w:ascii="Calibri" w:hAnsi="Calibri"/>
      <w:sz w:val="22"/>
    </w:rPr>
  </w:style>
  <w:style w:styleId="Style_18" w:type="paragraph">
    <w:name w:val="toc 3"/>
    <w:next w:val="Style_6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Основной шрифт"/>
    <w:link w:val="Style_20_ch"/>
  </w:style>
  <w:style w:styleId="Style_20_ch" w:type="character">
    <w:name w:val="Основной шрифт"/>
    <w:link w:val="Style_20"/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next w:val="Style_6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Body Text Indent"/>
    <w:basedOn w:val="Style_6"/>
    <w:link w:val="Style_26_ch"/>
    <w:pPr>
      <w:spacing w:after="120"/>
      <w:ind w:firstLine="0" w:left="283"/>
    </w:pPr>
  </w:style>
  <w:style w:styleId="Style_26_ch" w:type="character">
    <w:name w:val="Body Text Indent"/>
    <w:basedOn w:val="Style_6_ch"/>
    <w:link w:val="Style_26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oter"/>
    <w:basedOn w:val="Style_6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6_ch"/>
    <w:link w:val="Style_28"/>
  </w:style>
  <w:style w:styleId="Style_29" w:type="paragraph">
    <w:name w:val="toc 9"/>
    <w:next w:val="Style_6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5" w:type="paragraph">
    <w:name w:val="ConsNormal"/>
    <w:link w:val="Style_5_ch"/>
    <w:pPr>
      <w:widowControl w:val="0"/>
      <w:ind w:firstLine="72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14" w:type="paragraph">
    <w:name w:val="List Paragraph"/>
    <w:basedOn w:val="Style_6"/>
    <w:link w:val="Style_14_ch"/>
    <w:pPr>
      <w:ind w:firstLine="0" w:left="708"/>
    </w:pPr>
  </w:style>
  <w:style w:styleId="Style_14_ch" w:type="character">
    <w:name w:val="List Paragraph"/>
    <w:basedOn w:val="Style_6_ch"/>
    <w:link w:val="Style_14"/>
  </w:style>
  <w:style w:styleId="Style_31" w:type="paragraph">
    <w:name w:val="toc 5"/>
    <w:next w:val="Style_6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next w:val="Style_6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6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6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Balloon Text"/>
    <w:basedOn w:val="Style_6"/>
    <w:link w:val="Style_37_ch"/>
    <w:rPr>
      <w:rFonts w:ascii="Tahoma" w:hAnsi="Tahoma"/>
      <w:sz w:val="16"/>
    </w:rPr>
  </w:style>
  <w:style w:styleId="Style_37_ch" w:type="character">
    <w:name w:val="Balloon Text"/>
    <w:basedOn w:val="Style_6_ch"/>
    <w:link w:val="Style_37"/>
    <w:rPr>
      <w:rFonts w:ascii="Tahoma" w:hAnsi="Tahoma"/>
      <w:sz w:val="1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